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9327" w14:textId="2394A059" w:rsidR="005947C5" w:rsidRDefault="00F40ED5" w:rsidP="00F40ED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F40ED5">
        <w:rPr>
          <w:rFonts w:asciiTheme="majorBidi" w:hAnsiTheme="majorBidi" w:cstheme="majorBidi"/>
          <w:b/>
          <w:bCs/>
          <w:sz w:val="28"/>
          <w:szCs w:val="28"/>
          <w:u w:val="single"/>
        </w:rPr>
        <w:t>Histology (A)</w:t>
      </w:r>
      <w:r w:rsidRPr="00F40ED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F40ED5">
        <w:rPr>
          <w:rFonts w:asciiTheme="majorBidi" w:hAnsiTheme="majorBidi" w:cstheme="majorBidi"/>
          <w:b/>
          <w:bCs/>
          <w:sz w:val="28"/>
          <w:szCs w:val="28"/>
          <w:u w:val="single"/>
        </w:rPr>
        <w:t>CHI.  115</w:t>
      </w:r>
      <w:r w:rsidRPr="00F40ED5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7D844EF" w14:textId="65842D19" w:rsidR="00F40ED5" w:rsidRDefault="00F40ED5" w:rsidP="00F40ED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40ED5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2D922818" w14:textId="77777777" w:rsidR="00F40ED5" w:rsidRPr="00F40ED5" w:rsidRDefault="00F40ED5" w:rsidP="00F40ED5">
      <w:p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The objective of the course is to improve and upgrade the professional clinical efficiency of the veterinarians in different histological and histochemical techniques.</w:t>
      </w:r>
    </w:p>
    <w:p w14:paraId="5B18F9E2" w14:textId="77777777" w:rsidR="00F40ED5" w:rsidRPr="00F40ED5" w:rsidRDefault="00F40ED5" w:rsidP="00F40ED5">
      <w:p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By the end of the course the student should be able to:</w:t>
      </w:r>
    </w:p>
    <w:p w14:paraId="683732C8" w14:textId="77777777" w:rsidR="00F40ED5" w:rsidRPr="00F40ED5" w:rsidRDefault="00F40ED5" w:rsidP="00F40ED5">
      <w:p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1- Prepare H &amp; E stained sections.</w:t>
      </w:r>
    </w:p>
    <w:p w14:paraId="28A42123" w14:textId="77777777" w:rsidR="00F40ED5" w:rsidRPr="00F40ED5" w:rsidRDefault="00F40ED5" w:rsidP="00F40ED5">
      <w:p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 xml:space="preserve">2- Learn the L/M and E/M structure of the cell. </w:t>
      </w:r>
    </w:p>
    <w:p w14:paraId="1AC2F3F2" w14:textId="5240D41F" w:rsidR="00F40ED5" w:rsidRDefault="00F40ED5" w:rsidP="00F40ED5">
      <w:p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3- Learn the structure of the body tissues.</w:t>
      </w:r>
    </w:p>
    <w:p w14:paraId="1C16953C" w14:textId="4940E790" w:rsidR="00F40ED5" w:rsidRDefault="00F40ED5" w:rsidP="00F40ED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40ED5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25A3282A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Light Microscopic structure of the cell</w:t>
      </w:r>
    </w:p>
    <w:p w14:paraId="7F4889BA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Electron Microscopic structure of the cell</w:t>
      </w:r>
    </w:p>
    <w:p w14:paraId="1CD8A6CC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Epithelial tissue</w:t>
      </w:r>
    </w:p>
    <w:p w14:paraId="5CC1051F" w14:textId="47764BC0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Connective Tissue cells and types</w:t>
      </w:r>
    </w:p>
    <w:p w14:paraId="73EE6CB8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Cartilage &amp; Bone</w:t>
      </w:r>
    </w:p>
    <w:p w14:paraId="1CCDD5B8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Blood</w:t>
      </w:r>
    </w:p>
    <w:p w14:paraId="1F8CA586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Muscular Tissue</w:t>
      </w:r>
    </w:p>
    <w:p w14:paraId="71B6C990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Nervous tissue</w:t>
      </w:r>
    </w:p>
    <w:p w14:paraId="1DA995A9" w14:textId="77777777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Cardiovascular System</w:t>
      </w:r>
    </w:p>
    <w:p w14:paraId="5A005F72" w14:textId="0DDF380F" w:rsidR="00F40ED5" w:rsidRPr="00F40ED5" w:rsidRDefault="00F40ED5" w:rsidP="00F40ED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0ED5">
        <w:rPr>
          <w:rFonts w:asciiTheme="majorBidi" w:hAnsiTheme="majorBidi" w:cstheme="majorBidi"/>
          <w:sz w:val="28"/>
          <w:szCs w:val="28"/>
        </w:rPr>
        <w:t>Integumentary System</w:t>
      </w:r>
    </w:p>
    <w:sectPr w:rsidR="00F40ED5" w:rsidRPr="00F4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0BDF"/>
    <w:multiLevelType w:val="hybridMultilevel"/>
    <w:tmpl w:val="4F4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D5"/>
    <w:rsid w:val="0005532F"/>
    <w:rsid w:val="004F5652"/>
    <w:rsid w:val="00952B0C"/>
    <w:rsid w:val="00F4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1EA1"/>
  <w15:chartTrackingRefBased/>
  <w15:docId w15:val="{238F3B05-2D76-4DC7-8EA1-82A1028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2022-01-03T18:35:00Z</dcterms:created>
  <dcterms:modified xsi:type="dcterms:W3CDTF">2022-01-03T18:39:00Z</dcterms:modified>
</cp:coreProperties>
</file>